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C9" w:rsidRPr="00EC4BC9" w:rsidRDefault="00EC4BC9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EC4BC9">
        <w:rPr>
          <w:rFonts w:eastAsia="Times New Roman" w:cs="Times New Roman"/>
          <w:b/>
          <w:bCs/>
          <w:szCs w:val="24"/>
          <w:lang w:eastAsia="hu-HU"/>
        </w:rPr>
        <w:t>Tájékoztatás - szabványos és nem szabványos gyűjtőedények</w:t>
      </w:r>
      <w:r w:rsidR="00421701">
        <w:rPr>
          <w:rFonts w:eastAsia="Times New Roman" w:cs="Times New Roman"/>
          <w:b/>
          <w:bCs/>
          <w:szCs w:val="24"/>
          <w:lang w:eastAsia="hu-HU"/>
        </w:rPr>
        <w:t>ről</w:t>
      </w:r>
    </w:p>
    <w:p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 xml:space="preserve">A hulladékról szóló 2012. évi CLXXXV. törvény (továbbiakban: </w:t>
      </w:r>
      <w:proofErr w:type="spellStart"/>
      <w:r w:rsidRPr="00EC4BC9">
        <w:rPr>
          <w:rFonts w:eastAsia="Times New Roman" w:cs="Times New Roman"/>
          <w:szCs w:val="24"/>
          <w:lang w:eastAsia="hu-HU"/>
        </w:rPr>
        <w:t>Ht</w:t>
      </w:r>
      <w:proofErr w:type="spellEnd"/>
      <w:r w:rsidRPr="00EC4BC9">
        <w:rPr>
          <w:rFonts w:eastAsia="Times New Roman" w:cs="Times New Roman"/>
          <w:szCs w:val="24"/>
          <w:lang w:eastAsia="hu-HU"/>
        </w:rPr>
        <w:t xml:space="preserve">.) </w:t>
      </w:r>
      <w:r w:rsidR="00421701">
        <w:rPr>
          <w:rFonts w:eastAsia="Times New Roman" w:cs="Times New Roman"/>
          <w:szCs w:val="24"/>
          <w:lang w:eastAsia="hu-HU"/>
        </w:rPr>
        <w:t>2. § (1) bekezdés 18. pontja alapján:</w:t>
      </w:r>
    </w:p>
    <w:p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b/>
          <w:bCs/>
          <w:szCs w:val="24"/>
          <w:lang w:eastAsia="hu-HU"/>
        </w:rPr>
        <w:t>„</w:t>
      </w:r>
      <w:r w:rsidRPr="00EC4BC9">
        <w:rPr>
          <w:rFonts w:eastAsia="Times New Roman" w:cs="Times New Roman"/>
          <w:b/>
          <w:bCs/>
          <w:i/>
          <w:iCs/>
          <w:szCs w:val="24"/>
          <w:lang w:eastAsia="hu-HU"/>
        </w:rPr>
        <w:t>Gyűjtőedény</w:t>
      </w:r>
      <w:r w:rsidRPr="00EC4BC9">
        <w:rPr>
          <w:rFonts w:eastAsia="Times New Roman" w:cs="Times New Roman"/>
          <w:b/>
          <w:bCs/>
          <w:szCs w:val="24"/>
          <w:lang w:eastAsia="hu-HU"/>
        </w:rPr>
        <w:t>: </w:t>
      </w:r>
      <w:r w:rsidRPr="00EC4BC9">
        <w:rPr>
          <w:rFonts w:eastAsia="Times New Roman" w:cs="Times New Roman"/>
          <w:b/>
          <w:bCs/>
          <w:i/>
          <w:iCs/>
          <w:szCs w:val="24"/>
          <w:lang w:eastAsia="hu-HU"/>
        </w:rPr>
        <w:t>szabványos mérettel rendelkező hulladékgyűjtő edényzet, hulladékgyűjtő zsák, valamint az elkülönített hulladékgyűjtés céljából üzemeltetett eszköz, berendezés.”</w:t>
      </w:r>
    </w:p>
    <w:p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A hulladékgyűjtő edényekre vonatkozó jelenleg hatályos szabvány a következő:</w:t>
      </w:r>
      <w:r w:rsidR="0023688D">
        <w:rPr>
          <w:rFonts w:eastAsia="Times New Roman" w:cs="Times New Roman"/>
          <w:szCs w:val="24"/>
          <w:lang w:eastAsia="hu-HU"/>
        </w:rPr>
        <w:t xml:space="preserve"> </w:t>
      </w:r>
      <w:r w:rsidRPr="00EC4BC9">
        <w:rPr>
          <w:rFonts w:eastAsia="Times New Roman" w:cs="Times New Roman"/>
          <w:b/>
          <w:bCs/>
          <w:szCs w:val="24"/>
          <w:lang w:eastAsia="hu-HU"/>
        </w:rPr>
        <w:t>MSZ EN 840-1:2013</w:t>
      </w:r>
    </w:p>
    <w:p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 xml:space="preserve">A fenti szabvány már több éve hatályos, azonban ennek ellenére tapasztalható, hogy </w:t>
      </w:r>
      <w:r w:rsidR="00421701">
        <w:rPr>
          <w:rFonts w:eastAsia="Times New Roman" w:cs="Times New Roman"/>
          <w:szCs w:val="24"/>
          <w:lang w:eastAsia="hu-HU"/>
        </w:rPr>
        <w:t xml:space="preserve">a lakosság jókora része </w:t>
      </w:r>
      <w:r w:rsidRPr="00EC4BC9">
        <w:rPr>
          <w:rFonts w:eastAsia="Times New Roman" w:cs="Times New Roman"/>
          <w:szCs w:val="24"/>
          <w:lang w:eastAsia="hu-HU"/>
        </w:rPr>
        <w:t>az érvényes szabványnak egyáltalán nem megfelelő, láthatólag gyenge minőségű, a szabványedényhez képest olcsó</w:t>
      </w:r>
      <w:r w:rsidR="00421701">
        <w:rPr>
          <w:rFonts w:eastAsia="Times New Roman" w:cs="Times New Roman"/>
          <w:szCs w:val="24"/>
          <w:lang w:eastAsia="hu-HU"/>
        </w:rPr>
        <w:t>bb</w:t>
      </w:r>
      <w:r w:rsidRPr="00EC4BC9">
        <w:rPr>
          <w:rFonts w:eastAsia="Times New Roman" w:cs="Times New Roman"/>
          <w:szCs w:val="24"/>
          <w:lang w:eastAsia="hu-HU"/>
        </w:rPr>
        <w:t xml:space="preserve"> edényeket </w:t>
      </w:r>
      <w:r w:rsidR="00421701">
        <w:rPr>
          <w:rFonts w:eastAsia="Times New Roman" w:cs="Times New Roman"/>
          <w:szCs w:val="24"/>
          <w:lang w:eastAsia="hu-HU"/>
        </w:rPr>
        <w:t>vásárolnak, illetve használnak.</w:t>
      </w:r>
    </w:p>
    <w:p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b/>
          <w:bCs/>
          <w:szCs w:val="24"/>
          <w:lang w:eastAsia="hu-HU"/>
        </w:rPr>
        <w:t>Amennyiben</w:t>
      </w: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bCs/>
          <w:szCs w:val="24"/>
          <w:lang w:eastAsia="hu-HU"/>
        </w:rPr>
        <w:t>Ön nem az MSZ EN 840-1:2013 szabványnak megfelelő edényzetet használ</w:t>
      </w:r>
      <w:r w:rsidRPr="00EC4BC9">
        <w:rPr>
          <w:rFonts w:eastAsia="Times New Roman" w:cs="Times New Roman"/>
          <w:szCs w:val="24"/>
          <w:lang w:eastAsia="hu-HU"/>
        </w:rPr>
        <w:t xml:space="preserve">, </w:t>
      </w:r>
      <w:r w:rsidRPr="00EC4BC9">
        <w:rPr>
          <w:rFonts w:eastAsia="Times New Roman" w:cs="Times New Roman"/>
          <w:b/>
          <w:bCs/>
          <w:szCs w:val="24"/>
          <w:lang w:eastAsia="hu-HU"/>
        </w:rPr>
        <w:t>úgy az edényben, a szabványtól eltérés miatt keletkező</w:t>
      </w: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bCs/>
          <w:szCs w:val="24"/>
          <w:lang w:eastAsia="hu-HU"/>
        </w:rPr>
        <w:t>esetleges sérülésért Társaságunk felelősséget nem vállal, azaz kárt nem térít!</w:t>
      </w:r>
    </w:p>
    <w:p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 xml:space="preserve">Az alábbiakban felsorolásra kerülnek a szabványos és nem szabványos gyűjtőedények lényeges tulajdonságai. Kérjük, hogy edényzet vásárlásnál szíveskedjen ezeket figyelembe venni! </w:t>
      </w:r>
      <w:r w:rsidRPr="00EC4BC9">
        <w:rPr>
          <w:rFonts w:eastAsia="Times New Roman" w:cs="Times New Roman"/>
          <w:b/>
          <w:bCs/>
          <w:szCs w:val="24"/>
          <w:lang w:eastAsia="hu-HU"/>
        </w:rPr>
        <w:t>A szabvány száma az edényen fel van tüntetve!</w:t>
      </w:r>
    </w:p>
    <w:p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bCs/>
          <w:szCs w:val="24"/>
          <w:lang w:eastAsia="hu-HU"/>
        </w:rPr>
        <w:t xml:space="preserve">Szabványos gyűjtőedény: </w:t>
      </w:r>
      <w:r w:rsidRPr="00EC4BC9">
        <w:rPr>
          <w:rFonts w:eastAsia="Times New Roman" w:cs="Times New Roman"/>
          <w:szCs w:val="24"/>
          <w:lang w:eastAsia="hu-HU"/>
        </w:rPr>
        <w:t>(lásd 1. kép)</w:t>
      </w:r>
    </w:p>
    <w:p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Fésűs ürítő szerkezettel üríthetők</w:t>
      </w:r>
    </w:p>
    <w:p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Anyaguk UV-, hideg-, meleg- és vegyszerálló</w:t>
      </w:r>
    </w:p>
    <w:p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Csendes, tömörgumi kerekekkel van ellátva</w:t>
      </w:r>
    </w:p>
    <w:p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Az edények megfelelnek az EU zajvédelmi    előírásainak</w:t>
      </w:r>
    </w:p>
    <w:p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Felhasználóbarát</w:t>
      </w:r>
    </w:p>
    <w:p w:rsidR="00EC4BC9" w:rsidRDefault="0023688D" w:rsidP="0023688D">
      <w:pPr>
        <w:spacing w:before="100" w:beforeAutospacing="1" w:after="100" w:afterAutospacing="1" w:line="240" w:lineRule="auto"/>
        <w:ind w:left="142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noProof/>
          <w:szCs w:val="24"/>
          <w:lang w:eastAsia="hu-HU"/>
        </w:rPr>
        <w:drawing>
          <wp:inline distT="0" distB="0" distL="0" distR="0" wp14:anchorId="4FD10C11" wp14:editId="21C8D726">
            <wp:extent cx="3219450" cy="3028950"/>
            <wp:effectExtent l="0" t="0" r="0" b="0"/>
            <wp:docPr id="4" name="Kép 4" descr="1. kép - Szabványos gyűjtőedén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kép - Szabványos gyűjtőedényz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8D" w:rsidRDefault="0023688D" w:rsidP="00EC4BC9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hu-HU"/>
        </w:rPr>
      </w:pPr>
    </w:p>
    <w:p w:rsidR="0023688D" w:rsidRDefault="0023688D" w:rsidP="00EC4BC9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hu-HU"/>
        </w:rPr>
      </w:pPr>
    </w:p>
    <w:p w:rsidR="0023688D" w:rsidRPr="00EC4BC9" w:rsidRDefault="00EC4BC9" w:rsidP="0023688D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 </w:t>
      </w:r>
      <w:r w:rsidR="0023688D" w:rsidRPr="00EC4BC9">
        <w:rPr>
          <w:rFonts w:eastAsia="Times New Roman" w:cs="Times New Roman"/>
          <w:b/>
          <w:bCs/>
          <w:szCs w:val="24"/>
          <w:lang w:eastAsia="hu-HU"/>
        </w:rPr>
        <w:t xml:space="preserve">Nem szabványos gyűjtőedény: </w:t>
      </w:r>
      <w:r w:rsidR="0023688D" w:rsidRPr="00EC4BC9">
        <w:rPr>
          <w:rFonts w:eastAsia="Times New Roman" w:cs="Times New Roman"/>
          <w:szCs w:val="24"/>
          <w:lang w:eastAsia="hu-HU"/>
        </w:rPr>
        <w:t>(lásd 2. kép)</w:t>
      </w:r>
    </w:p>
    <w:p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Kör keresztmetszetű, kerék nélküli edények</w:t>
      </w:r>
    </w:p>
    <w:p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Fésűs ürítő szerkezettel nem üríthetők</w:t>
      </w:r>
    </w:p>
    <w:p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Fémből vagy gyengébb minőségű műanyagból készülnek</w:t>
      </w:r>
    </w:p>
    <w:p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Fedelük csak egy ponton illeszkedik</w:t>
      </w:r>
    </w:p>
    <w:p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Gyakoribb a sérülés, rongálódás, horpadás, törés veszélye</w:t>
      </w:r>
    </w:p>
    <w:p w:rsidR="00EC4BC9" w:rsidRPr="00EC4BC9" w:rsidRDefault="00EC4BC9" w:rsidP="0023688D">
      <w:pPr>
        <w:spacing w:before="100" w:beforeAutospacing="1" w:after="100" w:afterAutospacing="1" w:line="240" w:lineRule="auto"/>
        <w:ind w:left="142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noProof/>
          <w:szCs w:val="24"/>
          <w:lang w:eastAsia="hu-HU"/>
        </w:rPr>
        <w:drawing>
          <wp:inline distT="0" distB="0" distL="0" distR="0" wp14:anchorId="688BD00C" wp14:editId="56B94BED">
            <wp:extent cx="3114675" cy="3114675"/>
            <wp:effectExtent l="0" t="0" r="9525" b="9525"/>
            <wp:docPr id="3" name="Kép 3" descr="2. kép - Nem szabványos gyűjtőedén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 kép - Nem szabványos gyűjtőedényz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AB" w:rsidRPr="00C376AB" w:rsidRDefault="00C376AB" w:rsidP="00C376AB">
      <w:pPr>
        <w:spacing w:before="100" w:beforeAutospacing="1" w:after="100" w:afterAutospacing="1" w:line="240" w:lineRule="auto"/>
        <w:ind w:left="142"/>
        <w:jc w:val="center"/>
        <w:rPr>
          <w:rFonts w:eastAsia="Times New Roman" w:cs="Times New Roman"/>
          <w:b/>
          <w:szCs w:val="24"/>
          <w:lang w:eastAsia="hu-HU"/>
        </w:rPr>
      </w:pPr>
    </w:p>
    <w:p w:rsidR="00C376AB" w:rsidRPr="00C376AB" w:rsidRDefault="00C376AB" w:rsidP="00C3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hu-HU"/>
        </w:rPr>
      </w:pPr>
      <w:r w:rsidRPr="00C376AB">
        <w:rPr>
          <w:rFonts w:eastAsia="Times New Roman" w:cs="Times New Roman"/>
          <w:b/>
          <w:szCs w:val="24"/>
          <w:lang w:eastAsia="hu-HU"/>
        </w:rPr>
        <w:t>A fém hulladékgyűjtő edényzetek azonnali cseréjét kérjük a</w:t>
      </w:r>
      <w:r>
        <w:rPr>
          <w:rFonts w:eastAsia="Times New Roman" w:cs="Times New Roman"/>
          <w:b/>
          <w:szCs w:val="24"/>
          <w:lang w:eastAsia="hu-HU"/>
        </w:rPr>
        <w:t xml:space="preserve"> </w:t>
      </w:r>
      <w:r w:rsidRPr="00C376AB">
        <w:rPr>
          <w:rFonts w:eastAsia="Times New Roman" w:cs="Times New Roman"/>
          <w:b/>
          <w:szCs w:val="24"/>
          <w:lang w:eastAsia="hu-HU"/>
        </w:rPr>
        <w:t xml:space="preserve">lakosságtól, túl azon, hogy </w:t>
      </w:r>
      <w:r>
        <w:rPr>
          <w:rFonts w:eastAsia="Times New Roman" w:cs="Times New Roman"/>
          <w:b/>
          <w:szCs w:val="24"/>
          <w:lang w:eastAsia="hu-HU"/>
        </w:rPr>
        <w:t>nem szabvány szerinti edényzet, kollégáink részére sérülést okozhatnak.</w:t>
      </w:r>
    </w:p>
    <w:p w:rsidR="00421701" w:rsidRPr="004E50AD" w:rsidRDefault="00421701" w:rsidP="004217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Jelezzük továbbá, hogy a</w:t>
      </w:r>
      <w:r w:rsidRPr="003E31A9">
        <w:t xml:space="preserve">z edényzet károsodás, törés kivizsgálásának esetében az ügyfél köteles az edényzet károsodását azonnal a </w:t>
      </w:r>
      <w:r>
        <w:t>S</w:t>
      </w:r>
      <w:r w:rsidRPr="003E31A9">
        <w:t>zolgáltató részére jelezni. Amennyiben az ügyfél bejelentési kötelezettségének az</w:t>
      </w:r>
      <w:r>
        <w:t xml:space="preserve"> esemény bekövetkezését követő 3</w:t>
      </w:r>
      <w:r w:rsidRPr="003E31A9">
        <w:t xml:space="preserve"> napon belül nem tesz eleget, úgy a </w:t>
      </w:r>
      <w:r>
        <w:t>S</w:t>
      </w:r>
      <w:r w:rsidRPr="003E31A9">
        <w:t>zolgáltató</w:t>
      </w:r>
      <w:r w:rsidRPr="0023688D">
        <w:t xml:space="preserve"> </w:t>
      </w:r>
      <w:r w:rsidRPr="003E31A9">
        <w:t>az ügy kivizsgálására nem kötelezhető</w:t>
      </w:r>
      <w:r>
        <w:t>, a panasz elutasításra kerül</w:t>
      </w:r>
      <w:r w:rsidRPr="003E31A9">
        <w:t>.</w:t>
      </w:r>
    </w:p>
    <w:p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Társaságunk </w:t>
      </w:r>
      <w:r w:rsidRPr="00421701">
        <w:rPr>
          <w:rFonts w:eastAsia="Times New Roman" w:cs="Times New Roman"/>
          <w:szCs w:val="24"/>
          <w:lang w:eastAsia="hu-HU"/>
        </w:rPr>
        <w:t xml:space="preserve">csak abban az esetben vállal felelősséget és kártalanítja az </w:t>
      </w:r>
      <w:r>
        <w:rPr>
          <w:rFonts w:eastAsia="Times New Roman" w:cs="Times New Roman"/>
          <w:szCs w:val="24"/>
          <w:lang w:eastAsia="hu-HU"/>
        </w:rPr>
        <w:t>ingatlanhasználót</w:t>
      </w:r>
      <w:r w:rsidRPr="00421701">
        <w:rPr>
          <w:rFonts w:eastAsia="Times New Roman" w:cs="Times New Roman"/>
          <w:szCs w:val="24"/>
          <w:lang w:eastAsia="hu-HU"/>
        </w:rPr>
        <w:t xml:space="preserve">, ha </w:t>
      </w:r>
      <w:r w:rsidRPr="00421701">
        <w:rPr>
          <w:rFonts w:eastAsia="Times New Roman" w:cs="Times New Roman"/>
          <w:b/>
          <w:szCs w:val="24"/>
          <w:lang w:eastAsia="hu-HU"/>
        </w:rPr>
        <w:t>szabványos és</w:t>
      </w:r>
      <w:r w:rsidRPr="00421701">
        <w:rPr>
          <w:rFonts w:eastAsia="Times New Roman" w:cs="Times New Roman"/>
          <w:szCs w:val="24"/>
          <w:lang w:eastAsia="hu-HU"/>
        </w:rPr>
        <w:t xml:space="preserve"> </w:t>
      </w:r>
      <w:r w:rsidRPr="00421701">
        <w:rPr>
          <w:rFonts w:eastAsia="Times New Roman" w:cs="Times New Roman"/>
          <w:b/>
          <w:szCs w:val="24"/>
          <w:lang w:eastAsia="hu-HU"/>
        </w:rPr>
        <w:t xml:space="preserve">4 </w:t>
      </w:r>
      <w:r>
        <w:rPr>
          <w:rFonts w:eastAsia="Times New Roman" w:cs="Times New Roman"/>
          <w:b/>
          <w:szCs w:val="24"/>
          <w:lang w:eastAsia="hu-HU"/>
        </w:rPr>
        <w:t>évesnél nem öregebb a kukaedény.</w:t>
      </w:r>
    </w:p>
    <w:p w:rsidR="00421701" w:rsidRDefault="00421701" w:rsidP="004217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:rsidR="00421701" w:rsidRPr="00EC4BC9" w:rsidRDefault="00421701" w:rsidP="004217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szCs w:val="24"/>
          <w:lang w:eastAsia="hu-HU"/>
        </w:rPr>
        <w:t>Együttműködésüket és megértésüket ezúton is köszönjük!</w:t>
      </w:r>
    </w:p>
    <w:p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:rsidR="00EC4BC9" w:rsidRPr="003A6170" w:rsidRDefault="004E50AD" w:rsidP="008F4F5A">
      <w:pPr>
        <w:jc w:val="both"/>
        <w:rPr>
          <w:b/>
        </w:rPr>
      </w:pPr>
      <w:r w:rsidRPr="003A6170">
        <w:rPr>
          <w:b/>
        </w:rPr>
        <w:t xml:space="preserve">Tájékoztatás </w:t>
      </w:r>
      <w:r w:rsidR="003A6170" w:rsidRPr="003A6170">
        <w:rPr>
          <w:b/>
        </w:rPr>
        <w:t>a hulladékgyűjtés főbb pontjairól</w:t>
      </w:r>
    </w:p>
    <w:p w:rsidR="0023688D" w:rsidRDefault="0023688D" w:rsidP="0023688D">
      <w:pPr>
        <w:jc w:val="both"/>
      </w:pPr>
      <w:r>
        <w:t>A szolgáltatás igénybevevő</w:t>
      </w:r>
      <w:r w:rsidR="00C376AB">
        <w:t>nek</w:t>
      </w:r>
      <w:r>
        <w:t xml:space="preserve"> szállítási napon reggel 6,00 óráig kell kihelyezni a hulladékgyűjtő edényt, vagy cégemblémás zsákot az útpadkára, illetve a begyűjtést végző járművel megközelíthető és ürítésre alkalmas helyre, az ingatlan bejáratának a közelében, gyűjtőjármű közlekedésére alkalmas úttól legfeljebb 5 méterre. </w:t>
      </w:r>
      <w:r w:rsidRPr="00F44DBD">
        <w:rPr>
          <w:rFonts w:eastAsia="Times New Roman" w:cs="Times New Roman"/>
          <w:szCs w:val="24"/>
          <w:lang w:eastAsia="hu-HU"/>
        </w:rPr>
        <w:t xml:space="preserve">Az ürítési rend egész évben </w:t>
      </w:r>
      <w:r w:rsidRPr="00F44DBD">
        <w:rPr>
          <w:rFonts w:eastAsia="Times New Roman" w:cs="Times New Roman"/>
          <w:b/>
          <w:bCs/>
          <w:szCs w:val="24"/>
          <w:lang w:eastAsia="hu-HU"/>
        </w:rPr>
        <w:t>változatlan</w:t>
      </w:r>
      <w:r w:rsidRPr="00F44DBD">
        <w:rPr>
          <w:rFonts w:eastAsia="Times New Roman" w:cs="Times New Roman"/>
          <w:szCs w:val="24"/>
          <w:lang w:eastAsia="hu-HU"/>
        </w:rPr>
        <w:t xml:space="preserve">, akkor is, ha az ürítési nap </w:t>
      </w:r>
      <w:r w:rsidRPr="00F44DBD">
        <w:rPr>
          <w:rFonts w:eastAsia="Times New Roman" w:cs="Times New Roman"/>
          <w:b/>
          <w:bCs/>
          <w:szCs w:val="24"/>
          <w:lang w:eastAsia="hu-HU"/>
        </w:rPr>
        <w:t>ünnep- vagy munkaszüneti napra</w:t>
      </w:r>
      <w:r w:rsidR="00421701">
        <w:rPr>
          <w:rFonts w:eastAsia="Times New Roman" w:cs="Times New Roman"/>
          <w:b/>
          <w:bCs/>
          <w:szCs w:val="24"/>
          <w:lang w:eastAsia="hu-HU"/>
        </w:rPr>
        <w:t xml:space="preserve"> esik.</w:t>
      </w:r>
    </w:p>
    <w:p w:rsidR="0023688D" w:rsidRDefault="0023688D" w:rsidP="0023688D">
      <w:pPr>
        <w:jc w:val="both"/>
      </w:pPr>
      <w:r>
        <w:t xml:space="preserve">Tilos a gyűjtőedénybe elhelyezett hulladékot összepréselni. Ha a gyűjtőedényben olyan nedves hulladékot helyeztek el, amely az edényben összetömörödött, vagy </w:t>
      </w:r>
      <w:proofErr w:type="gramStart"/>
      <w:r>
        <w:t>befagyott ,</w:t>
      </w:r>
      <w:proofErr w:type="gramEnd"/>
      <w:r>
        <w:t xml:space="preserve"> illetve a tiltás ellenére az edényben levő hulladékot úgy összepréselték, hogy emiatt az edényt üríteni nem lehet az Ingatlanhasz</w:t>
      </w:r>
      <w:r w:rsidR="003A6170">
        <w:t>náló társaságunk</w:t>
      </w:r>
      <w:r>
        <w:t xml:space="preserve"> felhívására köteles az edényt üríthetővé illetve használhatóvá tenni. Köteles a fenti tevékenysége miatt bekövetkező kárt megtéríteni. </w:t>
      </w:r>
      <w:r w:rsidRPr="00F44DBD">
        <w:rPr>
          <w:rFonts w:eastAsia="Times New Roman" w:cs="Times New Roman"/>
          <w:szCs w:val="24"/>
          <w:lang w:eastAsia="hu-HU"/>
        </w:rPr>
        <w:t>Közegészségügyi okok miatt munkatársaink nem nyúlhatnak a kukákba, az edények sérülésveszélye nélkül az ürítés nem megvalósítható.</w:t>
      </w:r>
      <w:r w:rsidR="00B221EE">
        <w:rPr>
          <w:rFonts w:eastAsia="Times New Roman" w:cs="Times New Roman"/>
          <w:szCs w:val="24"/>
          <w:lang w:eastAsia="hu-HU"/>
        </w:rPr>
        <w:t xml:space="preserve"> Jelezni kívánjuk továbbá, hogy kisebb, apró darabos hulladékaikat zsákban helyezzék el a</w:t>
      </w:r>
      <w:r w:rsidR="00C376AB">
        <w:rPr>
          <w:rFonts w:eastAsia="Times New Roman" w:cs="Times New Roman"/>
          <w:szCs w:val="24"/>
          <w:lang w:eastAsia="hu-HU"/>
        </w:rPr>
        <w:t xml:space="preserve"> hulladékgyűjtő</w:t>
      </w:r>
      <w:r w:rsidR="00B221EE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B221EE">
        <w:rPr>
          <w:rFonts w:eastAsia="Times New Roman" w:cs="Times New Roman"/>
          <w:szCs w:val="24"/>
          <w:lang w:eastAsia="hu-HU"/>
        </w:rPr>
        <w:t>edényzetbe</w:t>
      </w:r>
      <w:proofErr w:type="spellEnd"/>
      <w:r w:rsidR="00B221EE">
        <w:rPr>
          <w:rFonts w:eastAsia="Times New Roman" w:cs="Times New Roman"/>
          <w:szCs w:val="24"/>
          <w:lang w:eastAsia="hu-HU"/>
        </w:rPr>
        <w:t>.</w:t>
      </w:r>
    </w:p>
    <w:p w:rsidR="0023688D" w:rsidRDefault="0023688D" w:rsidP="0023688D">
      <w:pPr>
        <w:jc w:val="both"/>
      </w:pPr>
      <w:r>
        <w:t>Ha a gyűjtő edényzet ürítése az ingatlanhasználók hibájából marad el, akkor az ürítésre csak az ingatlanra vonatkozó következő szállítási napon kerül sor. Az ingatlanhasználó hibájából elmaradó gyűjtő edényzet ürítés a közszolgáltatás végzése után kiállított s</w:t>
      </w:r>
      <w:r w:rsidR="003A6170">
        <w:t>z</w:t>
      </w:r>
      <w:r>
        <w:t>á</w:t>
      </w:r>
      <w:r w:rsidR="003A6170">
        <w:t>m</w:t>
      </w:r>
      <w:r>
        <w:t>la összegét nem befolyásolja.</w:t>
      </w:r>
    </w:p>
    <w:p w:rsidR="0023688D" w:rsidRDefault="003A6170" w:rsidP="0023688D">
      <w:pPr>
        <w:jc w:val="both"/>
      </w:pPr>
      <w:r>
        <w:t>Társaságunk</w:t>
      </w:r>
      <w:r w:rsidR="0023688D">
        <w:t xml:space="preserve"> megtagadhatja a hulladék átvételé</w:t>
      </w:r>
      <w:r w:rsidR="00421701">
        <w:t>t</w:t>
      </w:r>
      <w:r w:rsidR="0023688D">
        <w:t>, amennyiben az veszélyes hulladékot, építési törmelék, földet, vagy egyéb olyan anyagot tartalmaz, amely a kezelő személyzet testi épségét, vagy a gyűjtő jármű</w:t>
      </w:r>
      <w:r w:rsidR="00C376AB">
        <w:t xml:space="preserve"> </w:t>
      </w:r>
      <w:r w:rsidR="0023688D">
        <w:t xml:space="preserve">műszaki állapotát </w:t>
      </w:r>
      <w:proofErr w:type="gramStart"/>
      <w:r w:rsidR="0023688D">
        <w:t>veszélyezteti( folyékony</w:t>
      </w:r>
      <w:proofErr w:type="gramEnd"/>
      <w:r w:rsidR="0023688D">
        <w:t>, tűzveszélyes, maró, mérgező anyagok, állati tetem</w:t>
      </w:r>
      <w:r>
        <w:t>, fekália</w:t>
      </w:r>
      <w:r w:rsidR="00CE4DFF">
        <w:t>, hamu</w:t>
      </w:r>
      <w:r w:rsidR="00CC1FB2">
        <w:t>, egyéb tűzveszélyt okozó anyag</w:t>
      </w:r>
      <w:r>
        <w:t xml:space="preserve">). Társaságunk </w:t>
      </w:r>
      <w:r w:rsidR="0023688D">
        <w:t xml:space="preserve">olyan mértékű hulladékot köteles az ingatlanhasználótól átvenni, amely az ingatlanhasználó által használt szabványos gyűjtőedény lecsukott állapotban elfér. </w:t>
      </w:r>
      <w:proofErr w:type="spellStart"/>
      <w:r w:rsidR="0023688D">
        <w:t>Gyűjtőedényzetben</w:t>
      </w:r>
      <w:proofErr w:type="spellEnd"/>
      <w:r w:rsidR="0023688D">
        <w:t xml:space="preserve"> elhelyezhető települési szilárd hulladék maximális súlya 110</w:t>
      </w:r>
      <w:r>
        <w:t>-12</w:t>
      </w:r>
      <w:r w:rsidR="0023688D">
        <w:t xml:space="preserve">0 literes </w:t>
      </w:r>
      <w:proofErr w:type="spellStart"/>
      <w:r w:rsidR="0023688D">
        <w:t>gyűjtőedényzet</w:t>
      </w:r>
      <w:proofErr w:type="spellEnd"/>
      <w:r w:rsidR="0023688D">
        <w:t xml:space="preserve"> esetén legfeljebb 25 kg.  Az ezt m</w:t>
      </w:r>
      <w:r>
        <w:t>eghaladó mennyiségű hulladék</w:t>
      </w:r>
      <w:r w:rsidR="00CC1FB2">
        <w:t xml:space="preserve"> átvételét</w:t>
      </w:r>
      <w:r>
        <w:t xml:space="preserve"> társaságunk</w:t>
      </w:r>
      <w:r w:rsidR="00CC1FB2">
        <w:t xml:space="preserve"> megtagadhatja</w:t>
      </w:r>
      <w:r w:rsidR="0023688D">
        <w:t xml:space="preserve">, kivétel, ha az esetileg keletkező többlet hulladék a </w:t>
      </w:r>
      <w:r>
        <w:t>társaságunknál</w:t>
      </w:r>
      <w:r w:rsidR="0023688D">
        <w:t xml:space="preserve"> megvásárolható cégemblémás zsákban történt kihelyezésre. </w:t>
      </w:r>
    </w:p>
    <w:p w:rsidR="0023688D" w:rsidRDefault="0023688D" w:rsidP="0023688D">
      <w:pPr>
        <w:jc w:val="both"/>
      </w:pPr>
      <w:r>
        <w:t>Az ingatlanhasználó az általa használt gyűjtőedényen köteles tartós megjelölés</w:t>
      </w:r>
      <w:r w:rsidR="00C376AB">
        <w:t>t alkalmazni az ingatlan beazonosítása érdekében. Amely településeken ezt társaságunk bevezette ott az</w:t>
      </w:r>
      <w:r>
        <w:t xml:space="preserve"> alkalmazott és biztosított egyedi ügyfél azonosítóval el</w:t>
      </w:r>
      <w:r w:rsidR="00C376AB">
        <w:t xml:space="preserve">látott matricát kell alkalmazni </w:t>
      </w:r>
      <w:proofErr w:type="gramStart"/>
      <w:r w:rsidR="00C376AB">
        <w:t>ezen</w:t>
      </w:r>
      <w:proofErr w:type="gramEnd"/>
      <w:r w:rsidR="00C376AB">
        <w:t xml:space="preserve"> célra.</w:t>
      </w:r>
      <w:r>
        <w:t xml:space="preserve"> A nem beazonosítható edények ürítését nem köteles elvégezni a szolgáltató. Az emiatt elmaradt ürítés díja nem csökkenti a tárgyi időszakra vonatkozó számla összegét.</w:t>
      </w:r>
    </w:p>
    <w:p w:rsidR="0023688D" w:rsidRDefault="0023688D" w:rsidP="004217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>
        <w:rPr>
          <w:rFonts w:eastAsia="Times New Roman" w:cs="Times New Roman"/>
          <w:szCs w:val="24"/>
          <w:lang w:eastAsia="hu-HU"/>
        </w:rPr>
        <w:t>gyűjtőedényzet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épségéről és</w:t>
      </w:r>
      <w:r w:rsidR="00421701">
        <w:rPr>
          <w:rFonts w:eastAsia="Times New Roman" w:cs="Times New Roman"/>
          <w:szCs w:val="24"/>
          <w:lang w:eastAsia="hu-HU"/>
        </w:rPr>
        <w:t xml:space="preserve"> rendeltetésszerű használatáról</w:t>
      </w:r>
      <w:r>
        <w:rPr>
          <w:rFonts w:eastAsia="Times New Roman" w:cs="Times New Roman"/>
          <w:szCs w:val="24"/>
          <w:lang w:eastAsia="hu-HU"/>
        </w:rPr>
        <w:t xml:space="preserve">, megőrzéséről valamint a </w:t>
      </w:r>
      <w:proofErr w:type="spellStart"/>
      <w:r>
        <w:rPr>
          <w:rFonts w:eastAsia="Times New Roman" w:cs="Times New Roman"/>
          <w:szCs w:val="24"/>
          <w:lang w:eastAsia="hu-HU"/>
        </w:rPr>
        <w:t>gyűjtőedényzek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tisztántartásáról fertőtlenítéséről</w:t>
      </w:r>
      <w:r w:rsidR="00421701">
        <w:rPr>
          <w:rFonts w:eastAsia="Times New Roman" w:cs="Times New Roman"/>
          <w:szCs w:val="24"/>
          <w:lang w:eastAsia="hu-HU"/>
        </w:rPr>
        <w:t xml:space="preserve"> az ingatlanhasználó köteles gondoskodni</w:t>
      </w:r>
      <w:r>
        <w:rPr>
          <w:rFonts w:eastAsia="Times New Roman" w:cs="Times New Roman"/>
          <w:szCs w:val="24"/>
          <w:lang w:eastAsia="hu-HU"/>
        </w:rPr>
        <w:t xml:space="preserve">. </w:t>
      </w:r>
    </w:p>
    <w:p w:rsidR="0023688D" w:rsidRDefault="0023688D" w:rsidP="002368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:rsidR="0023688D" w:rsidRDefault="0023688D" w:rsidP="0023688D">
      <w:pPr>
        <w:jc w:val="both"/>
      </w:pPr>
    </w:p>
    <w:sectPr w:rsidR="0023688D" w:rsidSect="0042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D46"/>
    <w:multiLevelType w:val="multilevel"/>
    <w:tmpl w:val="41C4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73044"/>
    <w:multiLevelType w:val="multilevel"/>
    <w:tmpl w:val="C28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32A3"/>
    <w:multiLevelType w:val="multilevel"/>
    <w:tmpl w:val="956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92762"/>
    <w:multiLevelType w:val="multilevel"/>
    <w:tmpl w:val="4B8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00608"/>
    <w:multiLevelType w:val="multilevel"/>
    <w:tmpl w:val="364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7F"/>
    <w:rsid w:val="00197F93"/>
    <w:rsid w:val="0023688D"/>
    <w:rsid w:val="00290219"/>
    <w:rsid w:val="003A6170"/>
    <w:rsid w:val="00421701"/>
    <w:rsid w:val="004E50AD"/>
    <w:rsid w:val="0056727F"/>
    <w:rsid w:val="00830B53"/>
    <w:rsid w:val="008F4F5A"/>
    <w:rsid w:val="00AF4693"/>
    <w:rsid w:val="00B221EE"/>
    <w:rsid w:val="00C376AB"/>
    <w:rsid w:val="00C71C18"/>
    <w:rsid w:val="00CC1FB2"/>
    <w:rsid w:val="00CE4DFF"/>
    <w:rsid w:val="00E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B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B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4BC9"/>
    <w:rPr>
      <w:b/>
      <w:bCs/>
    </w:rPr>
  </w:style>
  <w:style w:type="paragraph" w:customStyle="1" w:styleId="rtejustify">
    <w:name w:val="rtejustify"/>
    <w:basedOn w:val="Norml"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rtecenter">
    <w:name w:val="rtecenter"/>
    <w:basedOn w:val="Norml"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4B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B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B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4BC9"/>
    <w:rPr>
      <w:b/>
      <w:bCs/>
    </w:rPr>
  </w:style>
  <w:style w:type="paragraph" w:customStyle="1" w:styleId="rtejustify">
    <w:name w:val="rtejustify"/>
    <w:basedOn w:val="Norml"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rtecenter">
    <w:name w:val="rtecenter"/>
    <w:basedOn w:val="Norml"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4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428F-D015-4A28-B88A-35D5DC7B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2021-06-07T05:26:00Z</cp:lastPrinted>
  <dcterms:created xsi:type="dcterms:W3CDTF">2021-06-16T07:31:00Z</dcterms:created>
  <dcterms:modified xsi:type="dcterms:W3CDTF">2021-06-16T07:31:00Z</dcterms:modified>
</cp:coreProperties>
</file>